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2E2" w:rsidRDefault="007342E2" w:rsidP="007342E2">
      <w:pPr>
        <w:autoSpaceDE w:val="0"/>
        <w:autoSpaceDN w:val="0"/>
        <w:adjustRightInd w:val="0"/>
        <w:spacing w:after="0" w:line="240" w:lineRule="auto"/>
        <w:jc w:val="both"/>
        <w:rPr>
          <w:rFonts w:ascii="Arial" w:hAnsi="Arial" w:cs="Arial"/>
        </w:rPr>
      </w:pPr>
      <w:r>
        <w:rPr>
          <w:rFonts w:ascii="Arial" w:hAnsi="Arial" w:cs="Arial"/>
        </w:rPr>
        <w:t>П</w:t>
      </w:r>
      <w:r>
        <w:rPr>
          <w:rFonts w:ascii="Arial" w:hAnsi="Arial" w:cs="Arial"/>
        </w:rPr>
        <w:t>еречень документов, необходимых для предоставления государственной услуги, подлежащих представлению заявителем, а также сведений, подлежащих указанию в заявлении:</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 xml:space="preserve">1) для предоставления государственной услуги заполняется </w:t>
      </w:r>
      <w:hyperlink r:id="rId4" w:history="1">
        <w:r>
          <w:rPr>
            <w:rFonts w:ascii="Arial" w:hAnsi="Arial" w:cs="Arial"/>
            <w:color w:val="0000FF"/>
          </w:rPr>
          <w:t>заявление</w:t>
        </w:r>
      </w:hyperlink>
      <w:r>
        <w:rPr>
          <w:rFonts w:ascii="Arial" w:hAnsi="Arial" w:cs="Arial"/>
        </w:rPr>
        <w:t xml:space="preserve"> о предоставлении субсидии с указанием всех</w:t>
      </w:r>
      <w:r>
        <w:rPr>
          <w:rFonts w:ascii="Arial" w:hAnsi="Arial" w:cs="Arial"/>
        </w:rPr>
        <w:t xml:space="preserve"> членов семьи и степени родства.</w:t>
      </w:r>
      <w:bookmarkStart w:id="0" w:name="_GoBack"/>
      <w:bookmarkEnd w:id="0"/>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При обращении в МФЦ необходимо предъявить документ, удостоверяющий личность:</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 xml:space="preserve">гражданина Российской Федерации, в том числе военнослужащего, - паспорт гражданина Российской Федерации, паспорт гражданина СССР, временное </w:t>
      </w:r>
      <w:hyperlink r:id="rId5" w:history="1">
        <w:r>
          <w:rPr>
            <w:rFonts w:ascii="Arial" w:hAnsi="Arial" w:cs="Arial"/>
            <w:color w:val="0000FF"/>
          </w:rPr>
          <w:t>удостоверение</w:t>
        </w:r>
      </w:hyperlink>
      <w:r>
        <w:rPr>
          <w:rFonts w:ascii="Arial" w:hAnsi="Arial" w:cs="Arial"/>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2)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3) сведения о суммах, начисленных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4) сведения, подтверждающие правовые основания владения и пользования заявителем жилым помещением, в котором заявитель зарегистрирован по месту жительства;</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5) сведения о государственной регистрации рождения (в случае регистрации записи соответствующего акта компетентным органом иностранного государства);</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6) сведения о государственной регистрации смерти (в случае регистрации записи соответствующего акта компетентным органом иностранного государства);</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7) сведения о государственной регистрации заключения (расторжения) брака (в случае регистрации записи соответствующего акта компетентным органом иностранного государства);</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 xml:space="preserve">8) сведения о родственниках и нетрудоспособных иждивенцах, являющихся членами семьи заявителя в соответствии со </w:t>
      </w:r>
      <w:hyperlink r:id="rId6" w:history="1">
        <w:r>
          <w:rPr>
            <w:rFonts w:ascii="Arial" w:hAnsi="Arial" w:cs="Arial"/>
            <w:color w:val="0000FF"/>
          </w:rPr>
          <w:t>статьями 31</w:t>
        </w:r>
      </w:hyperlink>
      <w:r>
        <w:rPr>
          <w:rFonts w:ascii="Arial" w:hAnsi="Arial" w:cs="Arial"/>
        </w:rPr>
        <w:t xml:space="preserve"> и </w:t>
      </w:r>
      <w:hyperlink r:id="rId7" w:history="1">
        <w:r>
          <w:rPr>
            <w:rFonts w:ascii="Arial" w:hAnsi="Arial" w:cs="Arial"/>
            <w:color w:val="0000FF"/>
          </w:rPr>
          <w:t>69</w:t>
        </w:r>
      </w:hyperlink>
      <w:r>
        <w:rPr>
          <w:rFonts w:ascii="Arial" w:hAnsi="Arial" w:cs="Arial"/>
        </w:rPr>
        <w:t xml:space="preserve"> Жилищного кодекса Российской Федерации;</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9) сведения о признании в судебном порядке лиц, проживающих совместно с заявителем по месту постоянного жительства, членами его семьи;</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10) 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 xml:space="preserve">11) сведения о доходах военнослужащих, граждан, пребывающих в добровольческих формированиях, сотрудников войск национальной гвардии Российской Федерации, </w:t>
      </w:r>
      <w:r>
        <w:rPr>
          <w:rFonts w:ascii="Arial" w:hAnsi="Arial" w:cs="Arial"/>
        </w:rPr>
        <w:lastRenderedPageBreak/>
        <w:t>органов принудительного исполнения Российской Федерации, таможенных органов Российской Федерации;</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12) 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13) 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14) 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15) сведения о доходах в виде процентов по вкладам (остаткам на счетах в банках);</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16) 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17) сведения о доходах, полученных в рамках применения специального налогового режима "Налог на профессиональный доход";</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18) сведения о доходах по договорам авторского заказа, договорам об отчуждении исключительного права на результаты интеллектуальной деятельности;</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19) сведения о налогооблагаемых доходах от реализации имущества, а также сдачи в аренду (наем, поднаем) имущества;</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20) сведения о получаемых алиментах (посредством отражения суммы получаемых алиментов в заявлении;</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21) сведения о нахождении заявителя и(или) членов его семьи на полном государственном обеспечении;</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22) сведения о прохождении заявителем и(или)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23) сведения о нахождении заявителя и(или) членов его семьи на принудительном лечении по решению суда;</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lastRenderedPageBreak/>
        <w:t>24) сведения о применении в отношении заявителя и(или) членов его семьи меры пресечения в виде заключения под стражу;</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25) 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26) сведения о суммах ежемесячного пожизненного содержания судей, вышедших в отставку;</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27) 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28) сведения о суммах дохода, полученного от источников за пределами Российской Федерации;</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29) 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30)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31) сведения о доходах, полученных в результате выигрышей, выплачиваемых организаторами лотерей, тотализаторов и других основанных на риске игр;</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32)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33) сведения о лицах, признанных безвестно отсутствующими или объявленных умершими (представляются заявителем и (или членами его семьи);</w:t>
      </w:r>
    </w:p>
    <w:p w:rsidR="007342E2" w:rsidRDefault="007342E2" w:rsidP="007342E2">
      <w:pPr>
        <w:autoSpaceDE w:val="0"/>
        <w:autoSpaceDN w:val="0"/>
        <w:adjustRightInd w:val="0"/>
        <w:spacing w:before="220" w:after="0" w:line="240" w:lineRule="auto"/>
        <w:ind w:firstLine="540"/>
        <w:jc w:val="both"/>
        <w:rPr>
          <w:rFonts w:ascii="Arial" w:hAnsi="Arial" w:cs="Arial"/>
        </w:rPr>
      </w:pPr>
      <w:r>
        <w:rPr>
          <w:rFonts w:ascii="Arial" w:hAnsi="Arial" w:cs="Arial"/>
        </w:rPr>
        <w:t>34) сведения о нахождении заявителя и(или) членов его семьи в розыске (представляются заявителем и (или членами его семьи).</w:t>
      </w:r>
    </w:p>
    <w:p w:rsidR="00D62CC3" w:rsidRDefault="00D62CC3"/>
    <w:sectPr w:rsidR="00D62CC3" w:rsidSect="00A912D4">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CC7"/>
    <w:rsid w:val="007342E2"/>
    <w:rsid w:val="00C66CC7"/>
    <w:rsid w:val="00D62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0DC9"/>
  <w15:chartTrackingRefBased/>
  <w15:docId w15:val="{2220CBEC-E6A5-4059-B0FF-2C58422A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66787&amp;dst=1004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66787&amp;dst=100239" TargetMode="External"/><Relationship Id="rId5" Type="http://schemas.openxmlformats.org/officeDocument/2006/relationships/hyperlink" Target="https://login.consultant.ru/link/?req=doc&amp;base=LAW&amp;n=424314&amp;dst=88" TargetMode="External"/><Relationship Id="rId4" Type="http://schemas.openxmlformats.org/officeDocument/2006/relationships/hyperlink" Target="https://login.consultant.ru/link/?req=doc&amp;base=SPB&amp;n=299218&amp;dst=11250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1318</Words>
  <Characters>7517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2024-10-11T12:39:00Z</dcterms:created>
  <dcterms:modified xsi:type="dcterms:W3CDTF">2024-10-11T12:39:00Z</dcterms:modified>
</cp:coreProperties>
</file>